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04" w:rsidRPr="007A5FBA" w:rsidRDefault="002D5F04" w:rsidP="00174E12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  <w:r w:rsidRPr="007A5FBA"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>LA DIREZIONE JUSTICE DELLA COMMISSIONE EUROPEA HA FORNITO I DATI DEI BANDI DI PROSSIMA PUBBLICAZIONE.</w:t>
      </w:r>
    </w:p>
    <w:p w:rsidR="002D5F04" w:rsidRPr="007A5FBA" w:rsidRDefault="002D5F04" w:rsidP="00174E12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</w:p>
    <w:p w:rsidR="002D5F04" w:rsidRPr="00EB0ABE" w:rsidRDefault="002D5F04" w:rsidP="00174E12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color w:val="344146"/>
          <w:sz w:val="28"/>
          <w:szCs w:val="28"/>
          <w:lang w:eastAsia="it-IT"/>
        </w:rPr>
      </w:pPr>
    </w:p>
    <w:p w:rsidR="002D5F04" w:rsidRDefault="00174E12" w:rsidP="002D5F04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  <w:r w:rsidRPr="00EB0ABE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it-IT"/>
        </w:rPr>
        <w:t> </w:t>
      </w:r>
      <w:r w:rsidR="002D5F04" w:rsidRPr="007A5FBA"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>BANDI PREVISTI IN USCITA A NOVEMBRE 2015</w:t>
      </w:r>
    </w:p>
    <w:p w:rsidR="00EB0ABE" w:rsidRPr="007A5FBA" w:rsidRDefault="00EB0ABE" w:rsidP="002D5F04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>Ipotesi scadenza: Febbraio 2016</w:t>
      </w:r>
    </w:p>
    <w:p w:rsidR="00174E12" w:rsidRDefault="00174E12" w:rsidP="00174E12">
      <w:pPr>
        <w:shd w:val="clear" w:color="auto" w:fill="F4F4F4"/>
        <w:spacing w:after="0" w:line="186" w:lineRule="atLeast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5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Daphne call - Action grants to support national or transnational projects on multi-agency and multi-disciplinary cooperation and on underreporting - JUST/2015/RDAP/AG/MULT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6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Joint Justice &amp; Daphne call - Actions grants to support national or transnational projects to enhance the rights of victims of crime/victims of violence- JUST/2015/SPOB/AG/VICT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lastRenderedPageBreak/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7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Action grants to support transnational projects aiming to build capacity for professionals in child protection systems and legal professionals representing children in legal proceedings - JUST/2015/RCHI/AG/PROF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8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Daphne call - Action grants to support transnational projects on the elimination of corporal punishment for children - JUST/2015/RDAP/AG/CORP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9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Action grants to support transnational projects to prevent and combat racism, xenophobia, homophobia and other forms of intolerance - JUST/2015/RRAC/AG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</w:p>
    <w:p w:rsid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</w:p>
    <w:p w:rsid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bookmarkStart w:id="0" w:name="_GoBack"/>
      <w:bookmarkEnd w:id="0"/>
    </w:p>
    <w:p w:rsidR="002D5F04" w:rsidRPr="007A5FBA" w:rsidRDefault="002D5F04" w:rsidP="00174E12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color w:val="344146"/>
          <w:sz w:val="28"/>
          <w:szCs w:val="28"/>
          <w:lang w:val="en-US" w:eastAsia="it-IT"/>
        </w:rPr>
      </w:pPr>
    </w:p>
    <w:p w:rsidR="002D5F04" w:rsidRDefault="00174E12" w:rsidP="002D5F04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  <w:r w:rsidRPr="00EB0ABE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lang w:eastAsia="it-IT"/>
        </w:rPr>
        <w:t> </w:t>
      </w:r>
      <w:r w:rsidR="002D5F04" w:rsidRPr="007A5FBA"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>BANDI PREVISTI IN USCITA A DICEMBRE 2015</w:t>
      </w:r>
    </w:p>
    <w:p w:rsidR="00EB0ABE" w:rsidRPr="007A5FBA" w:rsidRDefault="00EB0ABE" w:rsidP="00EB0ABE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  <w:r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 xml:space="preserve">Ipotesi scadenza: </w:t>
      </w:r>
      <w:r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>Marzo</w:t>
      </w:r>
      <w:r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  <w:t xml:space="preserve"> 2016</w:t>
      </w:r>
    </w:p>
    <w:p w:rsidR="00EB0ABE" w:rsidRPr="007A5FBA" w:rsidRDefault="00EB0ABE" w:rsidP="002D5F04">
      <w:pPr>
        <w:shd w:val="clear" w:color="auto" w:fill="F4F4F4"/>
        <w:spacing w:before="30" w:after="60" w:line="240" w:lineRule="auto"/>
        <w:rPr>
          <w:rFonts w:ascii="Verdana" w:eastAsia="Times New Roman" w:hAnsi="Verdana" w:cs="Times New Roman"/>
          <w:b/>
          <w:bCs/>
          <w:color w:val="344146"/>
          <w:sz w:val="28"/>
          <w:szCs w:val="28"/>
          <w:lang w:eastAsia="it-IT"/>
        </w:rPr>
      </w:pPr>
    </w:p>
    <w:p w:rsidR="00174E12" w:rsidRDefault="00174E12" w:rsidP="00174E12">
      <w:pPr>
        <w:shd w:val="clear" w:color="auto" w:fill="F4F4F4"/>
        <w:spacing w:after="0" w:line="186" w:lineRule="atLeast"/>
        <w:rPr>
          <w:rFonts w:ascii="Verdana" w:eastAsia="Times New Roman" w:hAnsi="Verdana" w:cs="Times New Roman"/>
          <w:color w:val="000000"/>
          <w:sz w:val="28"/>
          <w:szCs w:val="28"/>
          <w:lang w:eastAsia="it-IT"/>
        </w:rPr>
      </w:pP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10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Action grants to support national and transnational projects on non-discrimination and Roma integration - JUST/2015/RDIS/AG/DISC</w:t>
        </w:r>
      </w:hyperlink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r w:rsidRPr="00B76994"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  <w:t> </w:t>
      </w:r>
    </w:p>
    <w:p w:rsidR="00EB0ABE" w:rsidRPr="00B76994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  <w:hyperlink r:id="rId11" w:history="1">
        <w:r w:rsidRPr="00B76994">
          <w:rPr>
            <w:rFonts w:ascii="Verdana" w:eastAsia="Times New Roman" w:hAnsi="Verdana" w:cs="Times New Roman"/>
            <w:b/>
            <w:bCs/>
            <w:color w:val="0065A2"/>
            <w:sz w:val="28"/>
            <w:szCs w:val="28"/>
            <w:bdr w:val="none" w:sz="0" w:space="0" w:color="auto" w:frame="1"/>
            <w:lang w:val="en-US" w:eastAsia="it-IT"/>
          </w:rPr>
          <w:t>Action grants to support transnational projects to promote good practices on gender roles and to overcome gender stereotypes in education, training and in the workplace - JUST/2015/RGEN/AG/ROLE</w:t>
        </w:r>
      </w:hyperlink>
    </w:p>
    <w:p w:rsidR="00EB0ABE" w:rsidRP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</w:p>
    <w:p w:rsidR="00EB0ABE" w:rsidRPr="00EB0ABE" w:rsidRDefault="00EB0ABE" w:rsidP="00EB0ABE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b/>
          <w:bCs/>
          <w:color w:val="0065A2"/>
          <w:sz w:val="28"/>
          <w:szCs w:val="28"/>
          <w:bdr w:val="none" w:sz="0" w:space="0" w:color="auto" w:frame="1"/>
          <w:lang w:val="en-US" w:eastAsia="it-IT"/>
        </w:rPr>
      </w:pPr>
    </w:p>
    <w:sectPr w:rsidR="00EB0ABE" w:rsidRPr="00EB0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12"/>
    <w:rsid w:val="00174E12"/>
    <w:rsid w:val="002D5F04"/>
    <w:rsid w:val="00616710"/>
    <w:rsid w:val="00666655"/>
    <w:rsid w:val="0069695F"/>
    <w:rsid w:val="007A5FBA"/>
    <w:rsid w:val="008819E7"/>
    <w:rsid w:val="00E1181E"/>
    <w:rsid w:val="00E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justice/grants1/calls/2015_action_grants/just_2015_rdap_ag_corp_e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.europa.eu/justice/grants1/calls/2015_action_grants/just_2015_rchi_ag_prof_en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justice/grants1/calls/2015_action_grants/just_2015_spob_ag_vict_en.htm" TargetMode="External"/><Relationship Id="rId11" Type="http://schemas.openxmlformats.org/officeDocument/2006/relationships/hyperlink" Target="http://ec.europa.eu/justice/grants1/calls/2015_action_grants/just_2015_rgen_ag_role_en.htm" TargetMode="External"/><Relationship Id="rId5" Type="http://schemas.openxmlformats.org/officeDocument/2006/relationships/hyperlink" Target="http://ec.europa.eu/justice/grants1/calls/2015_action_grants/just_2015_rdap_ag_en.htm" TargetMode="External"/><Relationship Id="rId10" Type="http://schemas.openxmlformats.org/officeDocument/2006/relationships/hyperlink" Target="http://ec.europa.eu/justice/grants1/calls/2015_action_grants/just_2015_rdis_ag_disc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justice/grants1/calls/2015_action_grants/just_2015_rrac_ag_en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dainelli</dc:creator>
  <cp:lastModifiedBy>dainelli</cp:lastModifiedBy>
  <cp:revision>2</cp:revision>
  <cp:lastPrinted>2015-06-19T10:29:00Z</cp:lastPrinted>
  <dcterms:created xsi:type="dcterms:W3CDTF">2015-11-11T09:42:00Z</dcterms:created>
  <dcterms:modified xsi:type="dcterms:W3CDTF">2015-11-11T09:42:00Z</dcterms:modified>
</cp:coreProperties>
</file>