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3C" w:rsidRPr="0042573C" w:rsidRDefault="0042573C" w:rsidP="0042573C">
      <w:pPr>
        <w:shd w:val="clear" w:color="auto" w:fill="FFFFFF"/>
        <w:spacing w:before="240" w:after="240" w:line="240" w:lineRule="atLeast"/>
        <w:rPr>
          <w:rFonts w:asciiTheme="majorHAnsi" w:eastAsia="Times New Roman" w:hAnsiTheme="majorHAnsi" w:cs="Arial"/>
          <w:b/>
          <w:bCs/>
          <w:i/>
          <w:iCs/>
          <w:color w:val="333333"/>
          <w:sz w:val="28"/>
          <w:szCs w:val="28"/>
          <w:lang w:eastAsia="it-IT"/>
        </w:rPr>
      </w:pPr>
    </w:p>
    <w:p w:rsidR="0042573C" w:rsidRPr="0042573C" w:rsidRDefault="0042573C" w:rsidP="0042573C">
      <w:pPr>
        <w:pStyle w:val="Paragrafoelenco"/>
        <w:shd w:val="clear" w:color="auto" w:fill="FFFFFF"/>
        <w:spacing w:before="240" w:after="240" w:line="240" w:lineRule="atLeast"/>
        <w:rPr>
          <w:rFonts w:asciiTheme="majorHAnsi" w:eastAsia="Times New Roman" w:hAnsiTheme="majorHAnsi" w:cs="Arial"/>
          <w:b/>
          <w:bCs/>
          <w:i/>
          <w:iCs/>
          <w:color w:val="333333"/>
          <w:sz w:val="36"/>
          <w:szCs w:val="36"/>
          <w:lang w:eastAsia="it-IT"/>
        </w:rPr>
      </w:pPr>
      <w:r w:rsidRPr="0042573C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  <w:lang w:eastAsia="it-IT"/>
        </w:rPr>
        <w:t>Supporto a progetti transnazionali nell'area delle politiche europee di lotta contro la droga </w:t>
      </w:r>
    </w:p>
    <w:p w:rsidR="0042573C" w:rsidRDefault="0042573C" w:rsidP="0042573C">
      <w:pPr>
        <w:pStyle w:val="Paragrafoelenco"/>
        <w:shd w:val="clear" w:color="auto" w:fill="FFFFFF"/>
        <w:spacing w:before="240" w:after="240" w:line="240" w:lineRule="atLeast"/>
        <w:rPr>
          <w:rFonts w:asciiTheme="majorHAnsi" w:eastAsia="Times New Roman" w:hAnsiTheme="majorHAnsi" w:cs="Arial"/>
          <w:b/>
          <w:bCs/>
          <w:i/>
          <w:iCs/>
          <w:color w:val="333333"/>
          <w:sz w:val="28"/>
          <w:szCs w:val="28"/>
          <w:lang w:eastAsia="it-IT"/>
        </w:rPr>
      </w:pP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br/>
      </w:r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Data di scadenza</w:t>
      </w: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: </w:t>
      </w:r>
      <w:r w:rsidRPr="0042573C">
        <w:rPr>
          <w:rFonts w:asciiTheme="majorHAnsi" w:eastAsia="Times New Roman" w:hAnsiTheme="majorHAnsi" w:cs="Arial"/>
          <w:b/>
          <w:bCs/>
          <w:i/>
          <w:iCs/>
          <w:color w:val="333333"/>
          <w:sz w:val="28"/>
          <w:szCs w:val="28"/>
          <w:u w:val="single"/>
          <w:lang w:eastAsia="it-IT"/>
        </w:rPr>
        <w:t>14 gennaio 2016 (ore 12)</w:t>
      </w:r>
    </w:p>
    <w:p w:rsidR="0042573C" w:rsidRDefault="0042573C" w:rsidP="0042573C">
      <w:pPr>
        <w:pStyle w:val="Paragrafoelenco"/>
        <w:shd w:val="clear" w:color="auto" w:fill="FFFFFF"/>
        <w:spacing w:before="240" w:after="240" w:line="240" w:lineRule="atLeast"/>
        <w:rPr>
          <w:rFonts w:asciiTheme="majorHAnsi" w:eastAsia="Times New Roman" w:hAnsiTheme="majorHAnsi" w:cs="Arial"/>
          <w:b/>
          <w:bCs/>
          <w:i/>
          <w:iCs/>
          <w:color w:val="333333"/>
          <w:sz w:val="28"/>
          <w:szCs w:val="28"/>
          <w:lang w:eastAsia="it-IT"/>
        </w:rPr>
      </w:pPr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br/>
        <w:t>Codice bando</w:t>
      </w: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: </w:t>
      </w:r>
      <w:r w:rsidRPr="0042573C">
        <w:rPr>
          <w:rFonts w:asciiTheme="majorHAnsi" w:eastAsia="Times New Roman" w:hAnsiTheme="majorHAnsi" w:cs="Arial"/>
          <w:b/>
          <w:bCs/>
          <w:i/>
          <w:iCs/>
          <w:color w:val="333333"/>
          <w:sz w:val="28"/>
          <w:szCs w:val="28"/>
          <w:lang w:eastAsia="it-IT"/>
        </w:rPr>
        <w:t>HOME/2015/JDRU/AG/DRUG</w:t>
      </w:r>
    </w:p>
    <w:p w:rsidR="0042573C" w:rsidRDefault="0042573C" w:rsidP="0042573C">
      <w:pPr>
        <w:pStyle w:val="Paragrafoelenco"/>
        <w:shd w:val="clear" w:color="auto" w:fill="FFFFFF"/>
        <w:spacing w:before="240" w:after="240" w:line="240" w:lineRule="atLeast"/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</w:pPr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br/>
        <w:t>Budget</w:t>
      </w: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: </w:t>
      </w:r>
      <w:r w:rsidRPr="0042573C">
        <w:rPr>
          <w:rFonts w:asciiTheme="majorHAnsi" w:eastAsia="Times New Roman" w:hAnsiTheme="majorHAnsi" w:cs="Arial"/>
          <w:b/>
          <w:bCs/>
          <w:i/>
          <w:iCs/>
          <w:color w:val="333333"/>
          <w:sz w:val="28"/>
          <w:szCs w:val="28"/>
          <w:lang w:eastAsia="it-IT"/>
        </w:rPr>
        <w:t>2.505.000 euro</w:t>
      </w:r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br/>
        <w:t>Per informazioni sul bando: </w:t>
      </w:r>
      <w:hyperlink r:id="rId6" w:history="1">
        <w:r w:rsidRPr="0042573C">
          <w:rPr>
            <w:rFonts w:asciiTheme="majorHAnsi" w:eastAsia="Times New Roman" w:hAnsiTheme="majorHAnsi" w:cs="Arial"/>
            <w:b/>
            <w:bCs/>
            <w:color w:val="AB0808"/>
            <w:sz w:val="28"/>
            <w:szCs w:val="28"/>
            <w:lang w:eastAsia="it-IT"/>
          </w:rPr>
          <w:t>LINK</w:t>
        </w:r>
      </w:hyperlink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br/>
      </w:r>
    </w:p>
    <w:p w:rsidR="0042573C" w:rsidRPr="0042573C" w:rsidRDefault="0042573C" w:rsidP="0042573C">
      <w:pPr>
        <w:pStyle w:val="Paragrafoelenco"/>
        <w:shd w:val="clear" w:color="auto" w:fill="FFFFFF"/>
        <w:spacing w:before="240" w:after="240" w:line="240" w:lineRule="atLeast"/>
        <w:jc w:val="both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Per richieste di chiarimenti sul bando </w:t>
      </w: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contattare il seguente indirizzo di</w:t>
      </w:r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 xml:space="preserve"> posta </w:t>
      </w:r>
      <w:proofErr w:type="spellStart"/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elettronica</w:t>
      </w: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:</w:t>
      </w:r>
      <w:hyperlink r:id="rId7" w:history="1">
        <w:r w:rsidRPr="0042573C">
          <w:rPr>
            <w:rFonts w:asciiTheme="majorHAnsi" w:eastAsia="Times New Roman" w:hAnsiTheme="majorHAnsi" w:cs="Arial"/>
            <w:b/>
            <w:bCs/>
            <w:color w:val="AB0808"/>
            <w:sz w:val="28"/>
            <w:szCs w:val="28"/>
            <w:lang w:eastAsia="it-IT"/>
          </w:rPr>
          <w:t>HOME-DRUGS@ec.europa.eu</w:t>
        </w:r>
        <w:proofErr w:type="spellEnd"/>
      </w:hyperlink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 (le richieste potranno essere inviate fino a 7 giorni prima della scadenza del termine per la presentazione della domanda).</w:t>
      </w:r>
    </w:p>
    <w:p w:rsidR="0042573C" w:rsidRPr="0042573C" w:rsidRDefault="0042573C" w:rsidP="0042573C">
      <w:pPr>
        <w:pStyle w:val="Paragrafoelenco"/>
        <w:shd w:val="clear" w:color="auto" w:fill="FFFFFF"/>
        <w:spacing w:before="240" w:after="240" w:line="240" w:lineRule="atLeast"/>
        <w:jc w:val="both"/>
        <w:rPr>
          <w:rFonts w:asciiTheme="majorHAnsi" w:eastAsia="Times New Roman" w:hAnsiTheme="majorHAnsi" w:cs="Arial"/>
          <w:color w:val="FF0000"/>
          <w:sz w:val="28"/>
          <w:szCs w:val="28"/>
          <w:lang w:eastAsia="it-IT"/>
        </w:rPr>
      </w:pP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br/>
      </w:r>
      <w:r w:rsidRPr="0042573C"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it-IT"/>
        </w:rPr>
        <w:t>Il Programma Giustizia 2014-2020 e la Strategia europea sulla droga 2013-2020</w:t>
      </w:r>
    </w:p>
    <w:p w:rsidR="0042573C" w:rsidRDefault="0042573C" w:rsidP="0042573C">
      <w:pPr>
        <w:pStyle w:val="Paragrafoelenco"/>
        <w:shd w:val="clear" w:color="auto" w:fill="FFFFFF"/>
        <w:spacing w:before="240" w:after="240" w:line="240" w:lineRule="atLeast"/>
        <w:jc w:val="both"/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</w:pPr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Il Programma </w:t>
      </w:r>
      <w:hyperlink r:id="rId8" w:history="1">
        <w:r w:rsidRPr="0042573C">
          <w:rPr>
            <w:rFonts w:asciiTheme="majorHAnsi" w:eastAsia="Times New Roman" w:hAnsiTheme="majorHAnsi" w:cs="Arial"/>
            <w:b/>
            <w:bCs/>
            <w:color w:val="AB0808"/>
            <w:sz w:val="28"/>
            <w:szCs w:val="28"/>
            <w:lang w:eastAsia="it-IT"/>
          </w:rPr>
          <w:t>Giustizia </w:t>
        </w:r>
      </w:hyperlink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per il periodo 2014-2020 ha come specifico </w:t>
      </w:r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obiettivo il sostegno ad iniziative promosse nell’area delle politiche europee di lotta contro la droga,</w:t>
      </w: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 in particolare per quanto riguarda la cooperazione giudiziaria e gli aspetti prevenzionistici,</w:t>
      </w:r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 nella misura in cui tali iniziative non siano supportate dagli strumenti finanziari </w:t>
      </w: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finalizzati a sostenere la cooperazione di polizia, la prevenzione e la lotta alla criminalità, nonché la gestione delle crisi, come parte del Fondo per la sicurezza interna o del Programma Salute per la Crescita.</w:t>
      </w: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br/>
      </w:r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Inoltre, la Strategia europea in materia di droga 2013-2020 mira ad assicurare</w:t>
      </w: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 la simultanea riduzione della domanda e dell’offerta di droga, in base al presupposto per cui questi due fattori tendono a rinforzarsi a vicenda. </w:t>
      </w:r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La Strategia si pone l’obiettivo, pertanto, di contribuire ad una significativa riduzione della domanda di stupefacenti, della dipendenza da essi e dei danni sociali e per la salute derivanti dal loro utilizzo</w:t>
      </w:r>
    </w:p>
    <w:p w:rsidR="0042573C" w:rsidRDefault="0042573C" w:rsidP="0042573C">
      <w:pPr>
        <w:pStyle w:val="Paragrafoelenco"/>
        <w:shd w:val="clear" w:color="auto" w:fill="FFFFFF"/>
        <w:spacing w:before="240" w:after="240" w:line="240" w:lineRule="atLeast"/>
        <w:jc w:val="both"/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</w:pPr>
    </w:p>
    <w:p w:rsidR="0042573C" w:rsidRPr="0042573C" w:rsidRDefault="0042573C" w:rsidP="0042573C">
      <w:pPr>
        <w:pStyle w:val="Paragrafoelenco"/>
        <w:shd w:val="clear" w:color="auto" w:fill="FFFFFF"/>
        <w:spacing w:before="240" w:after="240" w:line="240" w:lineRule="atLeast"/>
        <w:jc w:val="both"/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it-IT"/>
        </w:rPr>
      </w:pPr>
      <w:r w:rsidRPr="0042573C"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it-IT"/>
        </w:rPr>
        <w:t>Obiettivi e finalità del bando</w:t>
      </w:r>
      <w:r w:rsidRPr="0042573C"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it-IT"/>
        </w:rPr>
        <w:t>:</w:t>
      </w:r>
    </w:p>
    <w:p w:rsidR="0042573C" w:rsidRPr="0042573C" w:rsidRDefault="0042573C" w:rsidP="0042573C">
      <w:pPr>
        <w:pStyle w:val="Paragrafoelenco"/>
        <w:shd w:val="clear" w:color="auto" w:fill="FFFFFF"/>
        <w:spacing w:before="240" w:after="240" w:line="240" w:lineRule="atLeast"/>
        <w:jc w:val="both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br/>
      </w:r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Il presente bando</w:t>
      </w: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, pubblicato nell’ambito del programma di lavoro 2015 della Commissione sulla politica di contrasto alla droga,</w:t>
      </w:r>
      <w:r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 xml:space="preserve"> </w:t>
      </w:r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si propone di finanziare progetti inerenti a tale politica di contrasto. Più specificamente, le proposte progettuali devono essere finalizzate al perseguimento di almeno una delle seguenti priorità:</w:t>
      </w:r>
    </w:p>
    <w:p w:rsidR="0042573C" w:rsidRPr="0042573C" w:rsidRDefault="0042573C" w:rsidP="0042573C">
      <w:pPr>
        <w:pStyle w:val="Paragrafoelenco"/>
        <w:numPr>
          <w:ilvl w:val="0"/>
          <w:numId w:val="6"/>
        </w:numPr>
        <w:shd w:val="clear" w:color="auto" w:fill="FFFFFF"/>
        <w:spacing w:before="240" w:after="240" w:line="240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lastRenderedPageBreak/>
        <w:t>Supportare l’implementazione della legislazione europea sulle nuove sostanze psicoattive, in particolare attraverso:</w:t>
      </w:r>
    </w:p>
    <w:p w:rsidR="0042573C" w:rsidRPr="00040B09" w:rsidRDefault="0042573C" w:rsidP="004257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040B09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L’incremento della capacità di identificare e valutare tali nuove sostanze</w:t>
      </w:r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;</w:t>
      </w:r>
    </w:p>
    <w:p w:rsidR="0042573C" w:rsidRPr="00040B09" w:rsidRDefault="0042573C" w:rsidP="004257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040B09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La riduzione della disponibilità </w:t>
      </w:r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di sostanze dannose;</w:t>
      </w:r>
    </w:p>
    <w:p w:rsidR="0042573C" w:rsidRPr="00040B09" w:rsidRDefault="0042573C" w:rsidP="004257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040B09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Il monitoraggio del grado di estensione </w:t>
      </w:r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dell’utilizzo di tali sostanze;</w:t>
      </w:r>
    </w:p>
    <w:p w:rsidR="0042573C" w:rsidRPr="00040B09" w:rsidRDefault="0042573C" w:rsidP="004257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040B09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Lo scambio di buone pratiche </w:t>
      </w:r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in materia di </w:t>
      </w:r>
      <w:r w:rsidRPr="00040B09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prevenzione</w:t>
      </w:r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.</w:t>
      </w:r>
    </w:p>
    <w:p w:rsidR="0042573C" w:rsidRPr="0042573C" w:rsidRDefault="0042573C" w:rsidP="0042573C">
      <w:pPr>
        <w:pStyle w:val="Paragrafoelenco"/>
        <w:numPr>
          <w:ilvl w:val="0"/>
          <w:numId w:val="6"/>
        </w:numPr>
        <w:shd w:val="clear" w:color="auto" w:fill="FFFFFF"/>
        <w:spacing w:before="240" w:after="240" w:line="240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Scambiare buone pratiche sulla base di una cooperazione tra le pubbliche autorità coinvolte nei servizi di contrasto alla droga e la società civile, al fine di assicurare:</w:t>
      </w:r>
    </w:p>
    <w:p w:rsidR="0042573C" w:rsidRPr="00040B09" w:rsidRDefault="0042573C" w:rsidP="004257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Una maggiore efficacia delle</w:t>
      </w:r>
      <w:r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 xml:space="preserve"> </w:t>
      </w:r>
      <w:r w:rsidRPr="00040B09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misure di prevenzione e di riduzione dei danni</w:t>
      </w:r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;</w:t>
      </w:r>
    </w:p>
    <w:p w:rsidR="0042573C" w:rsidRPr="00040B09" w:rsidRDefault="0042573C" w:rsidP="004257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Una maggiore efficacia delle</w:t>
      </w:r>
      <w:r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 xml:space="preserve"> </w:t>
      </w:r>
      <w:r w:rsidRPr="00040B09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misure volte al reintegro e alla riabilitazione dei consumatori di stupefacenti,</w:t>
      </w:r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 inclusi quelli rilasciati dalla detenzione;</w:t>
      </w:r>
    </w:p>
    <w:p w:rsidR="0042573C" w:rsidRPr="00040B09" w:rsidRDefault="0042573C" w:rsidP="004257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Una maggiore efficacia delle</w:t>
      </w:r>
      <w:r w:rsidRPr="00040B09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 attività di prevenzione e di riduzione del numero di reati legati alla droga</w:t>
      </w:r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.</w:t>
      </w:r>
    </w:p>
    <w:p w:rsidR="0042573C" w:rsidRPr="0042573C" w:rsidRDefault="0042573C" w:rsidP="0042573C">
      <w:pPr>
        <w:pStyle w:val="Paragrafoelenco"/>
        <w:numPr>
          <w:ilvl w:val="0"/>
          <w:numId w:val="6"/>
        </w:numPr>
        <w:shd w:val="clear" w:color="auto" w:fill="FFFFFF"/>
        <w:spacing w:before="240" w:after="240" w:line="240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Sostenere il coinvolgimento della società civile nell’attuazione degli obiettivi della Strategia europea sulla droga 2013-2020, nonché delle specifiche azioni adottate nell’ambito del Piano di azione europeo sulla droga 2013-2016.</w:t>
      </w:r>
    </w:p>
    <w:p w:rsidR="0042573C" w:rsidRDefault="0042573C" w:rsidP="0042573C">
      <w:pPr>
        <w:pStyle w:val="Paragrafoelenco"/>
        <w:shd w:val="clear" w:color="auto" w:fill="FFFFFF"/>
        <w:spacing w:before="240" w:after="240" w:line="240" w:lineRule="atLeast"/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</w:pP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br/>
      </w:r>
    </w:p>
    <w:p w:rsidR="0042573C" w:rsidRPr="0042573C" w:rsidRDefault="0042573C" w:rsidP="0042573C">
      <w:pPr>
        <w:pStyle w:val="Paragrafoelenco"/>
        <w:shd w:val="clear" w:color="auto" w:fill="FFFFFF"/>
        <w:spacing w:before="240" w:after="240" w:line="240" w:lineRule="atLeast"/>
        <w:rPr>
          <w:rFonts w:asciiTheme="majorHAnsi" w:eastAsia="Times New Roman" w:hAnsiTheme="majorHAnsi" w:cs="Arial"/>
          <w:color w:val="FF0000"/>
          <w:sz w:val="28"/>
          <w:szCs w:val="28"/>
          <w:lang w:eastAsia="it-IT"/>
        </w:rPr>
      </w:pPr>
      <w:r w:rsidRPr="0042573C"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it-IT"/>
        </w:rPr>
        <w:t>Ulteriori requisiti di cui le attività oggetto della proposta devono essere in possesso sono:</w:t>
      </w:r>
    </w:p>
    <w:p w:rsidR="0042573C" w:rsidRPr="00040B09" w:rsidRDefault="0042573C" w:rsidP="004257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040B09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Complementarità</w:t>
      </w:r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 </w:t>
      </w:r>
      <w:r w:rsidRPr="00040B09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delle azioni previste con quelle adottate dall’Unione europea </w:t>
      </w:r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e dagli Stati membri in materia di contrasto alla droga;</w:t>
      </w:r>
    </w:p>
    <w:p w:rsidR="0042573C" w:rsidRPr="00040B09" w:rsidRDefault="0042573C" w:rsidP="004257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040B09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Indicazione di un piano di sostenibilità </w:t>
      </w:r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che assicuri l’utilità dei risultati del progetto nel lungo periodo e dopo il termine del finanziamento;</w:t>
      </w:r>
    </w:p>
    <w:p w:rsidR="0042573C" w:rsidRPr="00040B09" w:rsidRDefault="0042573C" w:rsidP="004257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040B09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Compatibilità delle attività progettuali con i principi sanciti nella Carta dei diritti fondamentali dell’Unione europea,</w:t>
      </w:r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 in particolare per quanto riguarda i diritti e le libertà individuali;</w:t>
      </w:r>
    </w:p>
    <w:p w:rsidR="0042573C" w:rsidRPr="00040B09" w:rsidRDefault="0042573C" w:rsidP="004257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040B09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Durata prevista per la realizzazione dei progetti </w:t>
      </w:r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non superiore a 24 mesi.</w:t>
      </w:r>
    </w:p>
    <w:p w:rsidR="0042573C" w:rsidRDefault="0042573C" w:rsidP="0042573C">
      <w:pPr>
        <w:pStyle w:val="Paragrafoelenco"/>
        <w:shd w:val="clear" w:color="auto" w:fill="FFFFFF"/>
        <w:spacing w:before="240" w:after="240" w:line="240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</w:p>
    <w:p w:rsidR="0042573C" w:rsidRPr="0042573C" w:rsidRDefault="0042573C" w:rsidP="0042573C">
      <w:pPr>
        <w:pStyle w:val="Paragrafoelenco"/>
        <w:shd w:val="clear" w:color="auto" w:fill="FFFFFF"/>
        <w:spacing w:before="240" w:after="240" w:line="240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42573C"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it-IT"/>
        </w:rPr>
        <w:t>Criteri di ammissibilità</w:t>
      </w:r>
      <w:r w:rsidRPr="0042573C">
        <w:rPr>
          <w:rFonts w:asciiTheme="majorHAnsi" w:eastAsia="Times New Roman" w:hAnsiTheme="majorHAnsi" w:cs="Arial"/>
          <w:color w:val="FF0000"/>
          <w:sz w:val="28"/>
          <w:szCs w:val="28"/>
          <w:lang w:eastAsia="it-IT"/>
        </w:rPr>
        <w:br/>
      </w: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br/>
        <w:t>Per poter partecipare alla gara,</w:t>
      </w:r>
      <w:r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 xml:space="preserve"> </w:t>
      </w:r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i candidati devono:</w:t>
      </w:r>
    </w:p>
    <w:p w:rsidR="0042573C" w:rsidRPr="00040B09" w:rsidRDefault="0042573C" w:rsidP="004257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040B09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lastRenderedPageBreak/>
        <w:t>Essere persone giuridiche</w:t>
      </w:r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;</w:t>
      </w:r>
    </w:p>
    <w:p w:rsidR="0042573C" w:rsidRPr="00040B09" w:rsidRDefault="0042573C" w:rsidP="004257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040B09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Essere enti pubblici, enti privati no-profit o organizzazioni internazionali</w:t>
      </w:r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;</w:t>
      </w:r>
    </w:p>
    <w:p w:rsidR="0042573C" w:rsidRPr="00040B09" w:rsidRDefault="0042573C" w:rsidP="004257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040B09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 xml:space="preserve">Avere sede in uno Stato membro Ue aderente al Programma </w:t>
      </w:r>
      <w:proofErr w:type="spellStart"/>
      <w:r w:rsidRPr="00040B09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Justice</w:t>
      </w:r>
      <w:proofErr w:type="spellEnd"/>
      <w:r w:rsidRPr="00040B09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 </w:t>
      </w:r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(tranne per le organizzazioni internazionali);</w:t>
      </w:r>
    </w:p>
    <w:p w:rsidR="0042573C" w:rsidRPr="00040B09" w:rsidRDefault="0042573C" w:rsidP="004257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040B09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Non rientrare in alcuna delle situazioni di esclusione </w:t>
      </w:r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previste al paragrafo 7 del bando.</w:t>
      </w:r>
    </w:p>
    <w:p w:rsidR="0042573C" w:rsidRPr="0042573C" w:rsidRDefault="0042573C" w:rsidP="0042573C">
      <w:pPr>
        <w:pStyle w:val="Paragrafoelenco"/>
        <w:shd w:val="clear" w:color="auto" w:fill="FFFFFF"/>
        <w:spacing w:before="240" w:after="240" w:line="240" w:lineRule="atLeast"/>
        <w:rPr>
          <w:rFonts w:asciiTheme="majorHAnsi" w:eastAsia="Times New Roman" w:hAnsiTheme="majorHAnsi" w:cs="Arial"/>
          <w:color w:val="FF0000"/>
          <w:sz w:val="28"/>
          <w:szCs w:val="28"/>
          <w:lang w:eastAsia="it-IT"/>
        </w:rPr>
      </w:pPr>
      <w:r w:rsidRPr="0042573C"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it-IT"/>
        </w:rPr>
        <w:t>Per essere ammissibili, le proposte progettuali devono:</w:t>
      </w:r>
    </w:p>
    <w:p w:rsidR="0042573C" w:rsidRPr="00040B09" w:rsidRDefault="0042573C" w:rsidP="004257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040B09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Essere transnazionali</w:t>
      </w:r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 xml:space="preserve">, cioè coinvolgere almeno due enti stabiliti in due diversi Stati membri Ue partecipanti al Programma </w:t>
      </w:r>
      <w:proofErr w:type="spellStart"/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Justice</w:t>
      </w:r>
      <w:proofErr w:type="spellEnd"/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;</w:t>
      </w:r>
    </w:p>
    <w:p w:rsidR="0042573C" w:rsidRPr="00040B09" w:rsidRDefault="0042573C" w:rsidP="004257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040B09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Richiedere un cofinanziamento europeo </w:t>
      </w:r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pari o superiore a 150 mila euro;</w:t>
      </w:r>
    </w:p>
    <w:p w:rsidR="0042573C" w:rsidRPr="00040B09" w:rsidRDefault="0042573C" w:rsidP="004257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040B09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Contenere un progetto che non sia stato avviato prima della presentazione della domanda</w:t>
      </w:r>
      <w:r w:rsidRPr="00040B09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.</w:t>
      </w:r>
    </w:p>
    <w:p w:rsidR="0042573C" w:rsidRPr="0042573C" w:rsidRDefault="0042573C" w:rsidP="0042573C">
      <w:pPr>
        <w:pStyle w:val="Paragrafoelenco"/>
        <w:shd w:val="clear" w:color="auto" w:fill="FFFFFF"/>
        <w:spacing w:before="240" w:after="240" w:line="240" w:lineRule="atLeast"/>
        <w:rPr>
          <w:rFonts w:asciiTheme="majorHAnsi" w:eastAsia="Times New Roman" w:hAnsiTheme="majorHAnsi" w:cs="Arial"/>
          <w:color w:val="FF0000"/>
          <w:sz w:val="28"/>
          <w:szCs w:val="28"/>
          <w:lang w:eastAsia="it-IT"/>
        </w:rPr>
      </w:pP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br/>
      </w:r>
      <w:r w:rsidRPr="0042573C"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it-IT"/>
        </w:rPr>
        <w:t>Budget</w:t>
      </w:r>
    </w:p>
    <w:p w:rsidR="0042573C" w:rsidRPr="0042573C" w:rsidRDefault="0042573C" w:rsidP="0042573C">
      <w:pPr>
        <w:pStyle w:val="Paragrafoelenco"/>
        <w:numPr>
          <w:ilvl w:val="0"/>
          <w:numId w:val="6"/>
        </w:numPr>
        <w:shd w:val="clear" w:color="auto" w:fill="FFFFFF"/>
        <w:spacing w:before="240" w:after="240" w:line="240" w:lineRule="atLeast"/>
        <w:rPr>
          <w:rFonts w:asciiTheme="majorHAnsi" w:eastAsia="Times New Roman" w:hAnsiTheme="majorHAnsi" w:cs="Arial"/>
          <w:color w:val="FF0000"/>
          <w:sz w:val="28"/>
          <w:szCs w:val="28"/>
          <w:lang w:eastAsia="it-IT"/>
        </w:rPr>
      </w:pPr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Il budget totale disponibile per il cofinanziamento dei progetti in base al presente bando è stimato a 2.505.000 euro</w:t>
      </w: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. La Commissione prevede di finanziare un massimo di </w:t>
      </w:r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5-6 proposte progettuali</w:t>
      </w: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. Essa si propone, inoltre, di </w:t>
      </w:r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distribuire il budget in maniera equa tra le tre priorità</w:t>
      </w: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. A questo scopo, la Commissione redigerà tre diverse classifiche tra le proposte, in base al grado di conformità di queste con ciascuna delle priorità. </w:t>
      </w:r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In caso di riallocazione del budget, verrà data in ogni caso precedenza alla priorità n. 3, inerente al coinvolgimento della società civile.</w:t>
      </w: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br/>
      </w: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br/>
      </w: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br/>
      </w:r>
      <w:bookmarkStart w:id="0" w:name="_GoBack"/>
      <w:r w:rsidRPr="0042573C"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it-IT"/>
        </w:rPr>
        <w:t>Termini e modalità di invio della domanda</w:t>
      </w:r>
    </w:p>
    <w:bookmarkEnd w:id="0"/>
    <w:p w:rsidR="0042573C" w:rsidRPr="0042573C" w:rsidRDefault="0042573C" w:rsidP="0042573C">
      <w:pPr>
        <w:pStyle w:val="Paragrafoelenco"/>
        <w:numPr>
          <w:ilvl w:val="0"/>
          <w:numId w:val="6"/>
        </w:numPr>
        <w:shd w:val="clear" w:color="auto" w:fill="FFFFFF"/>
        <w:spacing w:before="240" w:after="240" w:line="240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</w:pPr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La domanda di partecipazione alla gara deve essere inviata entro le ore 12 del 14 gennaio 2016</w:t>
      </w: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.</w:t>
      </w: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br/>
        <w:t>L’invio deve essere effettuato utilizzando il modulo standard disponibile al seguente </w:t>
      </w:r>
      <w:hyperlink r:id="rId9" w:history="1">
        <w:r w:rsidRPr="0042573C">
          <w:rPr>
            <w:rFonts w:asciiTheme="majorHAnsi" w:eastAsia="Times New Roman" w:hAnsiTheme="majorHAnsi" w:cs="Arial"/>
            <w:b/>
            <w:bCs/>
            <w:color w:val="AB0808"/>
            <w:sz w:val="28"/>
            <w:szCs w:val="28"/>
            <w:lang w:eastAsia="it-IT"/>
          </w:rPr>
          <w:t>link</w:t>
        </w:r>
      </w:hyperlink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 e attraverso il sistema elettronico </w:t>
      </w:r>
      <w:hyperlink r:id="rId10" w:history="1">
        <w:r w:rsidRPr="0042573C">
          <w:rPr>
            <w:rFonts w:asciiTheme="majorHAnsi" w:eastAsia="Times New Roman" w:hAnsiTheme="majorHAnsi" w:cs="Arial"/>
            <w:b/>
            <w:bCs/>
            <w:color w:val="AB0808"/>
            <w:sz w:val="28"/>
            <w:szCs w:val="28"/>
            <w:lang w:eastAsia="it-IT"/>
          </w:rPr>
          <w:t>PRIAMOS</w:t>
        </w:r>
      </w:hyperlink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,</w:t>
      </w: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br/>
      </w:r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L’elenco dei documenti </w:t>
      </w:r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che devono essere obbligatoriamente allegati alla domanda di partecipazione alla gara (descrizione dell’azione proposta, budget stimato, altri documenti allegati) </w:t>
      </w:r>
      <w:r w:rsidRPr="0042573C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it-IT"/>
        </w:rPr>
        <w:t>è consultabile al paragrafo 12 del </w:t>
      </w:r>
      <w:hyperlink r:id="rId11" w:history="1">
        <w:r w:rsidRPr="0042573C">
          <w:rPr>
            <w:rFonts w:asciiTheme="majorHAnsi" w:eastAsia="Times New Roman" w:hAnsiTheme="majorHAnsi" w:cs="Arial"/>
            <w:b/>
            <w:bCs/>
            <w:color w:val="AB0808"/>
            <w:sz w:val="28"/>
            <w:szCs w:val="28"/>
            <w:lang w:eastAsia="it-IT"/>
          </w:rPr>
          <w:t>bando</w:t>
        </w:r>
      </w:hyperlink>
      <w:r w:rsidRPr="0042573C">
        <w:rPr>
          <w:rFonts w:asciiTheme="majorHAnsi" w:eastAsia="Times New Roman" w:hAnsiTheme="majorHAnsi" w:cs="Arial"/>
          <w:color w:val="333333"/>
          <w:sz w:val="28"/>
          <w:szCs w:val="28"/>
          <w:lang w:eastAsia="it-IT"/>
        </w:rPr>
        <w:t>.</w:t>
      </w:r>
    </w:p>
    <w:sectPr w:rsidR="0042573C" w:rsidRPr="004257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60A"/>
    <w:multiLevelType w:val="multilevel"/>
    <w:tmpl w:val="CC28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A5342"/>
    <w:multiLevelType w:val="hybridMultilevel"/>
    <w:tmpl w:val="4FC477D4"/>
    <w:lvl w:ilvl="0" w:tplc="2A8C8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97F5A"/>
    <w:multiLevelType w:val="hybridMultilevel"/>
    <w:tmpl w:val="CC50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15EDB"/>
    <w:multiLevelType w:val="multilevel"/>
    <w:tmpl w:val="6E6C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C4510"/>
    <w:multiLevelType w:val="multilevel"/>
    <w:tmpl w:val="6DF6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233272"/>
    <w:multiLevelType w:val="multilevel"/>
    <w:tmpl w:val="0612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DD7044"/>
    <w:multiLevelType w:val="multilevel"/>
    <w:tmpl w:val="5872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3C"/>
    <w:rsid w:val="0042573C"/>
    <w:rsid w:val="00E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7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7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uxelles.regione.campania.it/it/fondi-comunitari/fondi-comunitari-hyeg/programma-giustizia-2014-2020?page=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HOME-DRUGS@ec.europ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dgs/home-affairs/financing/fundings/drug-policy-initiatives/calls/2015/jdru-ag-drug/index_en.htm" TargetMode="External"/><Relationship Id="rId11" Type="http://schemas.openxmlformats.org/officeDocument/2006/relationships/hyperlink" Target="http://ec.europa.eu/dgs/home-affairs/financing/fundings/drug-policy-initiatives/calls/2015/jdru-ag-drug/index_en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c.europa.eu/dgs/home-affairs/financing/fundings/priamos-section/index_e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dgs/home-affairs/financing/fundings/drug-policy-initiatives/calls/2015/jdru-ag-drug/index_en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dainelli</dc:creator>
  <cp:lastModifiedBy>dainelli</cp:lastModifiedBy>
  <cp:revision>1</cp:revision>
  <dcterms:created xsi:type="dcterms:W3CDTF">2015-11-11T11:20:00Z</dcterms:created>
  <dcterms:modified xsi:type="dcterms:W3CDTF">2015-11-11T11:27:00Z</dcterms:modified>
</cp:coreProperties>
</file>