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EF" w:rsidRPr="00362AEF" w:rsidRDefault="00362AEF" w:rsidP="00B16FE7">
      <w:pPr>
        <w:jc w:val="both"/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eastAsia="it-IT"/>
        </w:rPr>
      </w:pPr>
      <w:bookmarkStart w:id="0" w:name="_GoBack"/>
      <w:bookmarkEnd w:id="0"/>
      <w:r w:rsidRPr="00362AEF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eastAsia="it-IT"/>
        </w:rPr>
        <w:t>Bando DG GIUSTIZIA: AZIONI DI SOSTEGNO PER LA COOPERAZIONE IN</w:t>
      </w:r>
      <w:r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eastAsia="it-IT"/>
        </w:rPr>
        <w:t xml:space="preserve"> </w:t>
      </w:r>
      <w:r w:rsidRPr="00362AEF">
        <w:rPr>
          <w:rFonts w:asciiTheme="majorHAnsi" w:eastAsia="Times New Roman" w:hAnsiTheme="majorHAnsi" w:cs="Arial"/>
          <w:b/>
          <w:bCs/>
          <w:color w:val="4F81BD" w:themeColor="accent1"/>
          <w:sz w:val="28"/>
          <w:szCs w:val="28"/>
          <w:lang w:eastAsia="it-IT"/>
        </w:rPr>
        <w:t xml:space="preserve">MATERIA CIVILE </w:t>
      </w:r>
    </w:p>
    <w:p w:rsidR="00362AEF" w:rsidRDefault="00362AEF" w:rsidP="00B16FE7">
      <w:pPr>
        <w:jc w:val="both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</w:pPr>
    </w:p>
    <w:p w:rsidR="00362AEF" w:rsidRPr="00362AEF" w:rsidRDefault="00362AEF" w:rsidP="00B16FE7">
      <w:pPr>
        <w:jc w:val="both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</w:pPr>
      <w:r w:rsidRPr="00362AEF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 xml:space="preserve">Programma </w:t>
      </w:r>
      <w:proofErr w:type="spellStart"/>
      <w:r w:rsidRPr="00362AEF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PROGRAMMA</w:t>
      </w:r>
      <w:proofErr w:type="spellEnd"/>
      <w:r w:rsidRPr="00362AEF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 xml:space="preserve"> GIUSTIZA (2014-2020)</w:t>
      </w:r>
    </w:p>
    <w:p w:rsidR="00362AEF" w:rsidRPr="00362AEF" w:rsidRDefault="00362AEF" w:rsidP="00B16FE7">
      <w:pPr>
        <w:jc w:val="both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</w:pPr>
      <w:r w:rsidRPr="00362AEF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Invito a presentare proposte: JUST/2014/JCOO/AG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ajorHAnsi" w:hAnsiTheme="majorHAnsi" w:cs="Arial"/>
          <w:color w:val="800000"/>
          <w:sz w:val="28"/>
          <w:szCs w:val="28"/>
        </w:rPr>
      </w:pPr>
      <w:r w:rsidRPr="002D7819">
        <w:rPr>
          <w:rStyle w:val="Enfasigrassetto"/>
          <w:rFonts w:asciiTheme="majorHAnsi" w:hAnsiTheme="majorHAnsi" w:cs="Arial"/>
          <w:color w:val="800000"/>
          <w:sz w:val="28"/>
          <w:szCs w:val="28"/>
        </w:rPr>
        <w:t>Finalità del bando: 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co-finanziamento di progetti nazionali o transnazionali che contribuiscano al rafforzamento della cooperazione giudiziaria in materia civile. 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2D7819">
        <w:rPr>
          <w:rFonts w:asciiTheme="majorHAnsi" w:hAnsiTheme="majorHAnsi" w:cs="Arial"/>
          <w:color w:val="000000"/>
          <w:sz w:val="28"/>
          <w:szCs w:val="28"/>
        </w:rPr>
        <w:t>I progetti dovranno essere finalizzati a  produrre un evidente valore aggiunto a livello europeo.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  <w:lang w:val="en-US"/>
        </w:rPr>
      </w:pPr>
      <w:proofErr w:type="spellStart"/>
      <w:r w:rsidRPr="002D7819">
        <w:rPr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  <w:lang w:val="en-US"/>
        </w:rPr>
        <w:t>Priorità</w:t>
      </w:r>
      <w:proofErr w:type="spellEnd"/>
      <w:r w:rsidRPr="002D7819">
        <w:rPr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D7819">
        <w:rPr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  <w:lang w:val="en-US"/>
        </w:rPr>
        <w:t>tematiche</w:t>
      </w:r>
      <w:proofErr w:type="spellEnd"/>
      <w:r w:rsidRPr="002D7819">
        <w:rPr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  <w:lang w:val="en-US"/>
        </w:rPr>
        <w:t>: 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 w:rsidRPr="002D7819">
        <w:rPr>
          <w:rFonts w:asciiTheme="majorHAnsi" w:hAnsiTheme="majorHAnsi" w:cs="Arial"/>
          <w:color w:val="000000"/>
          <w:sz w:val="28"/>
          <w:szCs w:val="28"/>
        </w:rPr>
        <w:br/>
      </w:r>
      <w:r w:rsidRPr="002D7819">
        <w:rPr>
          <w:rStyle w:val="Enfasigrassetto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1.</w:t>
      </w:r>
      <w:r w:rsidRPr="002D7819">
        <w:rPr>
          <w:rStyle w:val="apple-converted-space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 </w:t>
      </w: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contribuire alla implementazione dei seguenti regolamenti europei: 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lang w:val="en-US"/>
        </w:rPr>
      </w:pP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  <w:lang w:val="en-US"/>
        </w:rPr>
        <w:t>• </w:t>
      </w:r>
      <w:r w:rsidRPr="002D7819">
        <w:rPr>
          <w:rFonts w:asciiTheme="majorHAnsi" w:hAnsiTheme="majorHAnsi" w:cs="Arial"/>
          <w:color w:val="000000"/>
          <w:sz w:val="28"/>
          <w:szCs w:val="28"/>
          <w:lang w:val="en-US"/>
        </w:rPr>
        <w:t>Regulation (EU) No1215/2012 on jurisdiction and the recognition and enforcement of judgments in civil and commercial matters (recast);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lang w:val="en-US"/>
        </w:rPr>
      </w:pP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  <w:lang w:val="en-US"/>
        </w:rPr>
        <w:t>• </w:t>
      </w:r>
      <w:r w:rsidRPr="002D7819">
        <w:rPr>
          <w:rFonts w:asciiTheme="majorHAnsi" w:hAnsiTheme="majorHAnsi" w:cs="Arial"/>
          <w:color w:val="000000"/>
          <w:sz w:val="28"/>
          <w:szCs w:val="28"/>
          <w:lang w:val="en-US"/>
        </w:rPr>
        <w:t>Regulation (EU) No 650/2012 on jurisdiction, applicable law, recognition and enforcement of decisions and acceptance and enforcement of authentic instruments in matters of successions and on the creation of a European Certificate of Succession;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lang w:val="en-US"/>
        </w:rPr>
      </w:pP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  <w:lang w:val="en-US"/>
        </w:rPr>
        <w:t>• </w:t>
      </w:r>
      <w:r w:rsidRPr="002D7819">
        <w:rPr>
          <w:rFonts w:asciiTheme="majorHAnsi" w:hAnsiTheme="majorHAnsi" w:cs="Arial"/>
          <w:color w:val="000000"/>
          <w:sz w:val="28"/>
          <w:szCs w:val="28"/>
          <w:lang w:val="en-US"/>
        </w:rPr>
        <w:t>Regulation (EC) No 805/2004 creating a European Enforcement Order for uncontested claims;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lang w:val="en-US"/>
        </w:rPr>
      </w:pP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  <w:lang w:val="en-US"/>
        </w:rPr>
        <w:t>• </w:t>
      </w:r>
      <w:r w:rsidRPr="002D7819">
        <w:rPr>
          <w:rFonts w:asciiTheme="majorHAnsi" w:hAnsiTheme="majorHAnsi" w:cs="Arial"/>
          <w:color w:val="000000"/>
          <w:sz w:val="28"/>
          <w:szCs w:val="28"/>
          <w:lang w:val="en-US"/>
        </w:rPr>
        <w:t>Regulation (EC) No 1896/2006 creating a European order for payment procedure;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lang w:val="en-US"/>
        </w:rPr>
      </w:pP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  <w:lang w:val="en-US"/>
        </w:rPr>
        <w:t>• </w:t>
      </w:r>
      <w:r w:rsidRPr="002D7819">
        <w:rPr>
          <w:rFonts w:asciiTheme="majorHAnsi" w:hAnsiTheme="majorHAnsi" w:cs="Arial"/>
          <w:color w:val="000000"/>
          <w:sz w:val="28"/>
          <w:szCs w:val="28"/>
          <w:lang w:val="en-US"/>
        </w:rPr>
        <w:t>Regulation (EC) No 861/2007 establishing a European Small Claims Procedure;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lang w:val="en-US"/>
        </w:rPr>
      </w:pP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  <w:lang w:val="en-US"/>
        </w:rPr>
        <w:t>•</w:t>
      </w:r>
      <w:r w:rsidRPr="002D7819">
        <w:rPr>
          <w:rStyle w:val="apple-converted-space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2D7819">
        <w:rPr>
          <w:rFonts w:asciiTheme="majorHAnsi" w:hAnsiTheme="majorHAnsi" w:cs="Arial"/>
          <w:color w:val="000000"/>
          <w:sz w:val="28"/>
          <w:szCs w:val="28"/>
          <w:lang w:val="en-US"/>
        </w:rPr>
        <w:t>The 2005 Hague Convention on Choice-of-Court Agreements.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2D7819">
        <w:rPr>
          <w:rStyle w:val="Enfasigrassetto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2.</w:t>
      </w:r>
      <w:r w:rsidRPr="002D7819">
        <w:rPr>
          <w:rFonts w:asciiTheme="majorHAnsi" w:hAnsiTheme="majorHAnsi" w:cs="Arial"/>
          <w:color w:val="000000"/>
          <w:sz w:val="28"/>
          <w:szCs w:val="28"/>
        </w:rPr>
        <w:t> favorire lo scambio e la comunicazione strutturata di dati tra le autorità competenti incluse la trasmissione elettronica di documenti, richiesta di informazioni, interrogazione delle parti e dei testimoni oltre i confini nazionali in conformità alla legislazione europea;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2D7819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2D7819">
        <w:rPr>
          <w:rFonts w:asciiTheme="majorHAnsi" w:hAnsiTheme="majorHAnsi" w:cs="Arial"/>
          <w:color w:val="000000"/>
          <w:sz w:val="28"/>
          <w:szCs w:val="28"/>
        </w:rPr>
        <w:t xml:space="preserve">scambio  di buone pratiche in materia di insolvenza e </w:t>
      </w:r>
      <w:proofErr w:type="spellStart"/>
      <w:r w:rsidRPr="002D7819">
        <w:rPr>
          <w:rFonts w:asciiTheme="majorHAnsi" w:hAnsiTheme="majorHAnsi" w:cs="Arial"/>
          <w:color w:val="000000"/>
          <w:sz w:val="28"/>
          <w:szCs w:val="28"/>
        </w:rPr>
        <w:t>pre-inzolvenza</w:t>
      </w:r>
      <w:proofErr w:type="spellEnd"/>
      <w:r w:rsidRPr="002D7819">
        <w:rPr>
          <w:rFonts w:asciiTheme="majorHAnsi" w:hAnsiTheme="majorHAnsi" w:cs="Arial"/>
          <w:color w:val="000000"/>
          <w:sz w:val="28"/>
          <w:szCs w:val="28"/>
        </w:rPr>
        <w:t xml:space="preserve"> in base alla "</w:t>
      </w:r>
      <w:proofErr w:type="spellStart"/>
      <w:r w:rsidRPr="002D7819">
        <w:rPr>
          <w:rFonts w:asciiTheme="majorHAnsi" w:hAnsiTheme="majorHAnsi" w:cs="Arial"/>
          <w:color w:val="000000"/>
          <w:sz w:val="28"/>
          <w:szCs w:val="28"/>
        </w:rPr>
        <w:t>Commission</w:t>
      </w:r>
      <w:proofErr w:type="spellEnd"/>
      <w:r w:rsidRPr="002D781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2D7819">
        <w:rPr>
          <w:rFonts w:asciiTheme="majorHAnsi" w:hAnsiTheme="majorHAnsi" w:cs="Arial"/>
          <w:color w:val="000000"/>
          <w:sz w:val="28"/>
          <w:szCs w:val="28"/>
        </w:rPr>
        <w:t>recommendation</w:t>
      </w:r>
      <w:proofErr w:type="spellEnd"/>
      <w:r w:rsidRPr="002D7819">
        <w:rPr>
          <w:rFonts w:asciiTheme="majorHAnsi" w:hAnsiTheme="majorHAnsi" w:cs="Arial"/>
          <w:color w:val="000000"/>
          <w:sz w:val="28"/>
          <w:szCs w:val="28"/>
        </w:rPr>
        <w:t xml:space="preserve"> of 12.3.2014 on a new </w:t>
      </w:r>
      <w:proofErr w:type="spellStart"/>
      <w:r w:rsidRPr="002D7819">
        <w:rPr>
          <w:rFonts w:asciiTheme="majorHAnsi" w:hAnsiTheme="majorHAnsi" w:cs="Arial"/>
          <w:color w:val="000000"/>
          <w:sz w:val="28"/>
          <w:szCs w:val="28"/>
        </w:rPr>
        <w:t>approach</w:t>
      </w:r>
      <w:proofErr w:type="spellEnd"/>
      <w:r w:rsidRPr="002D7819">
        <w:rPr>
          <w:rFonts w:asciiTheme="majorHAnsi" w:hAnsiTheme="majorHAnsi" w:cs="Arial"/>
          <w:color w:val="000000"/>
          <w:sz w:val="28"/>
          <w:szCs w:val="28"/>
        </w:rPr>
        <w:t xml:space="preserve"> to business </w:t>
      </w:r>
      <w:proofErr w:type="spellStart"/>
      <w:r w:rsidRPr="002D7819">
        <w:rPr>
          <w:rFonts w:asciiTheme="majorHAnsi" w:hAnsiTheme="majorHAnsi" w:cs="Arial"/>
          <w:color w:val="000000"/>
          <w:sz w:val="28"/>
          <w:szCs w:val="28"/>
        </w:rPr>
        <w:t>failure</w:t>
      </w:r>
      <w:proofErr w:type="spellEnd"/>
      <w:r w:rsidRPr="002D7819">
        <w:rPr>
          <w:rFonts w:asciiTheme="majorHAnsi" w:hAnsiTheme="majorHAnsi" w:cs="Arial"/>
          <w:color w:val="000000"/>
          <w:sz w:val="28"/>
          <w:szCs w:val="28"/>
        </w:rPr>
        <w:t xml:space="preserve"> and </w:t>
      </w:r>
      <w:proofErr w:type="spellStart"/>
      <w:r w:rsidRPr="002D7819">
        <w:rPr>
          <w:rFonts w:asciiTheme="majorHAnsi" w:hAnsiTheme="majorHAnsi" w:cs="Arial"/>
          <w:color w:val="000000"/>
          <w:sz w:val="28"/>
          <w:szCs w:val="28"/>
        </w:rPr>
        <w:t>insolvency</w:t>
      </w:r>
      <w:proofErr w:type="spellEnd"/>
      <w:r w:rsidRPr="002D7819">
        <w:rPr>
          <w:rFonts w:asciiTheme="majorHAnsi" w:hAnsiTheme="majorHAnsi" w:cs="Arial"/>
          <w:color w:val="000000"/>
          <w:sz w:val="28"/>
          <w:szCs w:val="28"/>
        </w:rPr>
        <w:t xml:space="preserve"> (2014/135/EU)". 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</w:rPr>
      </w:pPr>
      <w:r w:rsidRPr="002D7819">
        <w:rPr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</w:rPr>
        <w:t>Attività finanziabili: 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• </w:t>
      </w:r>
      <w:r w:rsidRPr="002D7819">
        <w:rPr>
          <w:rFonts w:asciiTheme="majorHAnsi" w:hAnsiTheme="majorHAnsi" w:cs="Arial"/>
          <w:color w:val="000000"/>
          <w:sz w:val="28"/>
          <w:szCs w:val="28"/>
        </w:rPr>
        <w:t>attività analitiche come raccolta dati, studi, ricerche; 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•</w:t>
      </w:r>
      <w:r w:rsidRPr="002D7819">
        <w:rPr>
          <w:rStyle w:val="apple-converted-space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2D7819">
        <w:rPr>
          <w:rFonts w:asciiTheme="majorHAnsi" w:hAnsiTheme="majorHAnsi" w:cs="Arial"/>
          <w:color w:val="000000"/>
          <w:sz w:val="28"/>
          <w:szCs w:val="28"/>
        </w:rPr>
        <w:t>mutual</w:t>
      </w:r>
      <w:proofErr w:type="spellEnd"/>
      <w:r w:rsidRPr="002D781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2D7819">
        <w:rPr>
          <w:rFonts w:asciiTheme="majorHAnsi" w:hAnsiTheme="majorHAnsi" w:cs="Arial"/>
          <w:color w:val="000000"/>
          <w:sz w:val="28"/>
          <w:szCs w:val="28"/>
        </w:rPr>
        <w:t>learning</w:t>
      </w:r>
      <w:proofErr w:type="spellEnd"/>
      <w:r w:rsidRPr="002D7819">
        <w:rPr>
          <w:rFonts w:asciiTheme="majorHAnsi" w:hAnsiTheme="majorHAnsi" w:cs="Arial"/>
          <w:color w:val="000000"/>
          <w:sz w:val="28"/>
          <w:szCs w:val="28"/>
        </w:rPr>
        <w:t xml:space="preserve">, scambio di buone pratiche, cooperazione, identificazione di best </w:t>
      </w:r>
      <w:proofErr w:type="spellStart"/>
      <w:r w:rsidRPr="002D7819">
        <w:rPr>
          <w:rFonts w:asciiTheme="majorHAnsi" w:hAnsiTheme="majorHAnsi" w:cs="Arial"/>
          <w:color w:val="000000"/>
          <w:sz w:val="28"/>
          <w:szCs w:val="28"/>
        </w:rPr>
        <w:t>practices</w:t>
      </w:r>
      <w:proofErr w:type="spellEnd"/>
      <w:r w:rsidRPr="002D7819">
        <w:rPr>
          <w:rFonts w:asciiTheme="majorHAnsi" w:hAnsiTheme="majorHAnsi" w:cs="Arial"/>
          <w:color w:val="000000"/>
          <w:sz w:val="28"/>
          <w:szCs w:val="28"/>
        </w:rPr>
        <w:t xml:space="preserve"> esportabili in altri paesi partecipanti; 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•</w:t>
      </w:r>
      <w:r w:rsidRPr="002D7819">
        <w:rPr>
          <w:rStyle w:val="apple-converted-space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 </w:t>
      </w:r>
      <w:r w:rsidRPr="002D7819">
        <w:rPr>
          <w:rFonts w:asciiTheme="majorHAnsi" w:hAnsiTheme="majorHAnsi" w:cs="Arial"/>
          <w:color w:val="000000"/>
          <w:sz w:val="28"/>
          <w:szCs w:val="28"/>
        </w:rPr>
        <w:t>disseminazione e campagne di sensibilizzazione. 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</w:rPr>
      </w:pP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 w:rsidRPr="002D7819">
        <w:rPr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</w:rPr>
        <w:t>Requisiti di eleggibilità:</w:t>
      </w:r>
      <w:r w:rsidRPr="002D7819">
        <w:rPr>
          <w:rStyle w:val="apple-converted-space"/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</w:rPr>
        <w:t> </w:t>
      </w: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i progetti (nazionali o trans-nazionali) devono essere presentati da enti con sede in uno Stato membro UE (esclusi Danimarca e Regno Unito). 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2D7819">
        <w:rPr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</w:rPr>
        <w:t>Finanziamento:</w:t>
      </w:r>
      <w:r w:rsidRPr="002D7819">
        <w:rPr>
          <w:rStyle w:val="apple-converted-space"/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</w:rPr>
        <w:t> </w:t>
      </w:r>
      <w:r w:rsidRPr="002D7819">
        <w:rPr>
          <w:rFonts w:asciiTheme="majorHAnsi" w:hAnsiTheme="majorHAnsi" w:cs="Arial"/>
          <w:color w:val="000000"/>
          <w:sz w:val="28"/>
          <w:szCs w:val="28"/>
        </w:rPr>
        <w:t>a partire da 75.000 euro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 w:rsidRPr="002D7819">
        <w:rPr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</w:rPr>
        <w:t>Durata</w:t>
      </w:r>
      <w:r w:rsidRPr="002D7819">
        <w:rPr>
          <w:rStyle w:val="Enfasigrassetto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:</w:t>
      </w:r>
      <w:r w:rsidRPr="002D7819">
        <w:rPr>
          <w:rStyle w:val="apple-converted-space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 </w:t>
      </w: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fino a 24 mesi</w:t>
      </w: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2D7819" w:rsidRPr="002D7819" w:rsidRDefault="002D7819" w:rsidP="002D7819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2D7819">
        <w:rPr>
          <w:rFonts w:asciiTheme="majorHAnsi" w:hAnsiTheme="majorHAnsi" w:cs="Arial"/>
          <w:b/>
          <w:bCs/>
          <w:color w:val="800000"/>
          <w:sz w:val="28"/>
          <w:szCs w:val="28"/>
          <w:bdr w:val="none" w:sz="0" w:space="0" w:color="auto" w:frame="1"/>
        </w:rPr>
        <w:t>Modalità di presentazione: </w:t>
      </w:r>
      <w:r w:rsidRPr="002D7819">
        <w:rPr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presentazione dei progetti online entro le ore 12.00 del 19 gennaio 2015.</w:t>
      </w:r>
    </w:p>
    <w:sectPr w:rsidR="002D7819" w:rsidRPr="002D7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EF"/>
    <w:rsid w:val="002D7819"/>
    <w:rsid w:val="00362AEF"/>
    <w:rsid w:val="0089111D"/>
    <w:rsid w:val="00B16FE7"/>
    <w:rsid w:val="00E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justify">
    <w:name w:val="rtejustify"/>
    <w:basedOn w:val="Normale"/>
    <w:rsid w:val="002D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7819"/>
    <w:rPr>
      <w:b/>
      <w:bCs/>
    </w:rPr>
  </w:style>
  <w:style w:type="character" w:customStyle="1" w:styleId="apple-converted-space">
    <w:name w:val="apple-converted-space"/>
    <w:basedOn w:val="Carpredefinitoparagrafo"/>
    <w:rsid w:val="002D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justify">
    <w:name w:val="rtejustify"/>
    <w:basedOn w:val="Normale"/>
    <w:rsid w:val="002D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7819"/>
    <w:rPr>
      <w:b/>
      <w:bCs/>
    </w:rPr>
  </w:style>
  <w:style w:type="character" w:customStyle="1" w:styleId="apple-converted-space">
    <w:name w:val="apple-converted-space"/>
    <w:basedOn w:val="Carpredefinitoparagrafo"/>
    <w:rsid w:val="002D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dainelli</dc:creator>
  <cp:lastModifiedBy>dainelli</cp:lastModifiedBy>
  <cp:revision>2</cp:revision>
  <dcterms:created xsi:type="dcterms:W3CDTF">2015-11-17T11:05:00Z</dcterms:created>
  <dcterms:modified xsi:type="dcterms:W3CDTF">2015-11-17T11:05:00Z</dcterms:modified>
</cp:coreProperties>
</file>