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B7" w:rsidRPr="003A63B7" w:rsidRDefault="008007F6" w:rsidP="003A63B7">
      <w:pPr>
        <w:shd w:val="clear" w:color="auto" w:fill="FFFFFF"/>
        <w:spacing w:before="240" w:after="240" w:line="240" w:lineRule="atLeast"/>
        <w:jc w:val="center"/>
        <w:rPr>
          <w:rFonts w:ascii="Arial" w:eastAsia="Times New Roman" w:hAnsi="Arial" w:cs="Arial"/>
          <w:bCs/>
          <w:color w:val="333333"/>
          <w:sz w:val="36"/>
          <w:szCs w:val="36"/>
          <w:lang w:eastAsia="it-IT"/>
        </w:rPr>
      </w:pPr>
      <w:r w:rsidRPr="008007F6">
        <w:rPr>
          <w:rFonts w:ascii="Arial" w:eastAsia="Times New Roman" w:hAnsi="Arial" w:cs="Arial"/>
          <w:bCs/>
          <w:color w:val="333333"/>
          <w:sz w:val="36"/>
          <w:szCs w:val="36"/>
          <w:lang w:eastAsia="it-IT"/>
        </w:rPr>
        <w:t>Formazione di giudici nazionali in tema di diritto europeo della concorrenza e cooperazione giudiziaria tra giudici nazionali specializzati nel diritto della concorrenza</w:t>
      </w:r>
    </w:p>
    <w:p w:rsidR="003A63B7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Data di scadenza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: 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29 gennaio 2016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Il programma Giustizia 2014-2020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Il </w:t>
      </w:r>
      <w:hyperlink r:id="rId6" w:history="1">
        <w:r w:rsidRPr="008007F6">
          <w:rPr>
            <w:rFonts w:ascii="Arial" w:eastAsia="Times New Roman" w:hAnsi="Arial" w:cs="Arial"/>
            <w:b/>
            <w:bCs/>
            <w:color w:val="AB0808"/>
            <w:sz w:val="21"/>
            <w:szCs w:val="21"/>
            <w:lang w:eastAsia="it-IT"/>
          </w:rPr>
          <w:t>Programma Giustizia</w:t>
        </w:r>
      </w:hyperlink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,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che riunisce e sostituisce i precedenti programmi previsti in materia dalla legislazione europea,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 si propone di contribuire, nel periodo 2014-2020, allo sviluppo di uno spazio europeo di giustizia basato sulla promozione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:</w:t>
      </w:r>
    </w:p>
    <w:p w:rsidR="008007F6" w:rsidRPr="008007F6" w:rsidRDefault="008007F6" w:rsidP="00800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della cooperazione giudiziaria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 materia civile e penale;</w:t>
      </w:r>
    </w:p>
    <w:p w:rsidR="008007F6" w:rsidRPr="008007F6" w:rsidRDefault="008007F6" w:rsidP="00800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della formazione giudiziaria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compresa quella linguistica inerente alla terminologia giuridica, anche attraverso l’incremento della conoscenza del diritto e delle politiche dell’Unione da parte dell’opinione pubblica;</w:t>
      </w:r>
      <w:bookmarkStart w:id="0" w:name="_GoBack"/>
      <w:bookmarkEnd w:id="0"/>
    </w:p>
    <w:p w:rsidR="008007F6" w:rsidRPr="008007F6" w:rsidRDefault="008007F6" w:rsidP="00800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dell’effettività dell’accesso alla giustizia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nonché della 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tutela delle vittime della criminalità;</w:t>
      </w:r>
    </w:p>
    <w:p w:rsidR="008007F6" w:rsidRPr="008007F6" w:rsidRDefault="008007F6" w:rsidP="008007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degli strumenti di prevenzione e di contrasto alla criminalità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nell’ambito della politica in materia di droga.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Priorità ed obiettivi del bando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Il presente bando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pubblicato nell’ambito del programma di lavoro per il 2015 adottato dalla Commissione il 30 marzo di quest’anno, 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si propone di contribuire al finanziamento di progetti finalizzati a promuovere la formazione dei giudici nazionali, nonché la cooperazione giudiziaria tra questi, con l’obiettivo di un rafforzamento delle regole del diritto europeo della concorrenza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 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Tali progetti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che dovranno essere caratterizzati da un particolare valore aggiunto europeo, 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dovranno indicare le priorità (principali e secondarie) che si prefiggono di realizzare, in modo tale che queste rientrino in almeno una delle seguenti aree indicate nel bando: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AREA 1: Sviluppo della conoscenza, dell’applicazione e dell’interpretazione del diritto europeo della concorrenza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  <w:t>I progetti relativi a tale area dovranno consistere in attività come, ad esempio, conferenze, seminari, workshops o corsi di formazione sul diritto europeo della concorrenza, avendo particolare attenzione ai programmi per la formazione avanzata dei giudici nazionali. All’interno di quest’area, il bando si focalizza sulle seguenti priorità:</w:t>
      </w:r>
    </w:p>
    <w:p w:rsidR="008007F6" w:rsidRPr="008007F6" w:rsidRDefault="008007F6" w:rsidP="00800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Attività di formazione in materia di aiuti di Stato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;</w:t>
      </w:r>
    </w:p>
    <w:p w:rsidR="008007F6" w:rsidRPr="008007F6" w:rsidRDefault="008007F6" w:rsidP="00800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Attività di formazione relative alla direttiva 104/2014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in materia di pratiche distorsive della concorrenza, la quale dovrà essere trasposta nelle legislazioni degli Stati membri entro il 26 dicembre 2016;</w:t>
      </w:r>
    </w:p>
    <w:p w:rsidR="008007F6" w:rsidRPr="008007F6" w:rsidRDefault="008007F6" w:rsidP="008007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Attività di studio e di formazione casistica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sui principi economici del diritto della concorrenza.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AREA 2: Sviluppo delle competenze linguistiche dei giudici nazionali in riferimento al linguaggio giuridico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  <w:t>Questo obiettivo può costituire l’oggetto principale di un programma di formazione, così come un’attività di carattere secondario. All’interno di quest’area rientra la seguente priorità:</w:t>
      </w:r>
    </w:p>
    <w:p w:rsidR="008007F6" w:rsidRPr="008007F6" w:rsidRDefault="008007F6" w:rsidP="008007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Attività di formazione linguistico-giuridica correlate alla terminologia specifica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utilizzata nell’applicazione del diritto antitrust, al fine di promuovere la creazione, in questo ambito, di un’area giuridica comune europea.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lastRenderedPageBreak/>
        <w:t>AREA 3: Sviluppo e/o creazione di forme di cooperazione e di network in materia giudiziaria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  <w:t>I progetti rientranti in quest’area vengono considerati solo se le attività e gli obiettivi ad essi inerenti concernono lo sviluppo della cooperazione tra giudici nazionali provenienti da più di uno Stato membro Ue. La creazione di network cooperativi è fortemente incoraggiata, peraltro, anche in relazione ai progetti inerenti alle prime due aree di intervento. Le priorità nell’ambito di questa terza area sono:</w:t>
      </w:r>
    </w:p>
    <w:p w:rsidR="008007F6" w:rsidRPr="008007F6" w:rsidRDefault="008007F6" w:rsidP="00800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 xml:space="preserve">Perseguire la cooperazione tra giudici nazionali e tra questi e la </w:t>
      </w:r>
      <w:proofErr w:type="spellStart"/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Commissione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nell’ambito</w:t>
      </w:r>
      <w:proofErr w:type="spellEnd"/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degli aiuti di Stato e delle procedure antitrust;</w:t>
      </w:r>
    </w:p>
    <w:p w:rsidR="008007F6" w:rsidRPr="008007F6" w:rsidRDefault="008007F6" w:rsidP="008007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Rafforzare la cooperazione e lo scambio di informazioni tra giudici nazionali, a livello nazionale ed europeo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attraverso l’implementazione di banche dati o strumenti basati sulla rete internet operanti a livello transfrontaliero, al fine anche di facilitare la gestione di complessi casi giudiziari in materia di concorrenza aventi un rilievo transnazionale.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Criteri di ammissibilità delle proposte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Le proposte progettuali, per essere ammissibili, devono:</w:t>
      </w:r>
    </w:p>
    <w:p w:rsidR="008007F6" w:rsidRPr="008007F6" w:rsidRDefault="008007F6" w:rsidP="00800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Essere presentate da autorità, organizzazioni pubbliche o private stabilite in uno degli Stati ammessi alla gara, oppure organizzazioni internazionali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 Organizzazioni stabilite in Paesi terzi possono partecipare come partner associati ma non possono presentare progetti come candidati principali o partecipare come co-candidati. Le organizzazioni con scopi di lucro possono partecipare alla gara ma devono presentare la domanda in partnership con enti pubblici o con organizzazioni private no-profit;</w:t>
      </w:r>
    </w:p>
    <w:p w:rsidR="008007F6" w:rsidRPr="008007F6" w:rsidRDefault="008007F6" w:rsidP="00800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Richiedere un cofinanziamento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che sia compreso tra un minimo di 10 mila ed un massimo di 400 mila euro;</w:t>
      </w:r>
    </w:p>
    <w:p w:rsidR="008007F6" w:rsidRPr="008007F6" w:rsidRDefault="008007F6" w:rsidP="008007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Riguardare progetti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che non siano stati completati o avviati prima della presentazione della domanda di partecipazione alla gara.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Budget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Il budget disponibile per il presente bando è di 1 milione di euro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I finanziamenti saranno compresi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tra un massimo di 400 mila euro e un minimo di 10 mila euro.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La Commissione finanzierà almeno due progetti per ciascuna delle tre aree di priorità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 La precedenza verrà accordata a quelle proposte caratterizzate da un effettivo apporto innovativo rispetto al quadro esistente in materia.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8007F6">
        <w:rPr>
          <w:rFonts w:ascii="Arial" w:eastAsia="Times New Roman" w:hAnsi="Arial" w:cs="Arial"/>
          <w:b/>
          <w:bCs/>
          <w:color w:val="333333"/>
          <w:sz w:val="24"/>
          <w:szCs w:val="24"/>
          <w:lang w:eastAsia="it-IT"/>
        </w:rPr>
        <w:t>Termini di presentazione della domanda</w:t>
      </w:r>
    </w:p>
    <w:p w:rsidR="008007F6" w:rsidRPr="008007F6" w:rsidRDefault="008007F6" w:rsidP="008007F6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Le domande di partecipazione dovranno essere presentate entro il 29 gennaio 2016.</w:t>
      </w:r>
      <w:r w:rsidRPr="008007F6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br/>
        <w:t>Il calendario delle scadenze delle varie fasi della procedura</w:t>
      </w:r>
      <w:r w:rsidRPr="008007F6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, anche per quanto concerne la realizzazione del progetto, è consultabile al punto 3 del bando</w:t>
      </w:r>
    </w:p>
    <w:p w:rsidR="008007F6" w:rsidRDefault="008007F6"/>
    <w:sectPr w:rsidR="008007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E4665"/>
    <w:multiLevelType w:val="multilevel"/>
    <w:tmpl w:val="AB5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73C72"/>
    <w:multiLevelType w:val="multilevel"/>
    <w:tmpl w:val="2C4A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F495A"/>
    <w:multiLevelType w:val="multilevel"/>
    <w:tmpl w:val="9476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F61BA"/>
    <w:multiLevelType w:val="multilevel"/>
    <w:tmpl w:val="F59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438FE"/>
    <w:multiLevelType w:val="multilevel"/>
    <w:tmpl w:val="626E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F6"/>
    <w:rsid w:val="003A63B7"/>
    <w:rsid w:val="008007F6"/>
    <w:rsid w:val="0089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8007F6"/>
  </w:style>
  <w:style w:type="character" w:styleId="Enfasigrassetto">
    <w:name w:val="Strong"/>
    <w:basedOn w:val="Carpredefinitoparagrafo"/>
    <w:uiPriority w:val="22"/>
    <w:qFormat/>
    <w:rsid w:val="008007F6"/>
    <w:rPr>
      <w:b/>
      <w:bCs/>
    </w:rPr>
  </w:style>
  <w:style w:type="character" w:customStyle="1" w:styleId="apple-converted-space">
    <w:name w:val="apple-converted-space"/>
    <w:basedOn w:val="Carpredefinitoparagrafo"/>
    <w:rsid w:val="0080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ps">
    <w:name w:val="hps"/>
    <w:basedOn w:val="Carpredefinitoparagrafo"/>
    <w:rsid w:val="008007F6"/>
  </w:style>
  <w:style w:type="character" w:styleId="Enfasigrassetto">
    <w:name w:val="Strong"/>
    <w:basedOn w:val="Carpredefinitoparagrafo"/>
    <w:uiPriority w:val="22"/>
    <w:qFormat/>
    <w:rsid w:val="008007F6"/>
    <w:rPr>
      <w:b/>
      <w:bCs/>
    </w:rPr>
  </w:style>
  <w:style w:type="character" w:customStyle="1" w:styleId="apple-converted-space">
    <w:name w:val="apple-converted-space"/>
    <w:basedOn w:val="Carpredefinitoparagrafo"/>
    <w:rsid w:val="0080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uxelles.regione.campania.it/it/fondi-comunitari/fondi-comunitari-hyeg/programma-giustizia-2014-2020?page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dainelli</dc:creator>
  <cp:lastModifiedBy>dainelli</cp:lastModifiedBy>
  <cp:revision>1</cp:revision>
  <dcterms:created xsi:type="dcterms:W3CDTF">2015-11-17T10:36:00Z</dcterms:created>
  <dcterms:modified xsi:type="dcterms:W3CDTF">2015-11-17T10:51:00Z</dcterms:modified>
</cp:coreProperties>
</file>